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3B" w:rsidRPr="003D4FF7" w:rsidRDefault="00422C3B" w:rsidP="00CF0A52">
      <w:pPr>
        <w:jc w:val="center"/>
        <w:outlineLvl w:val="0"/>
        <w:rPr>
          <w:b/>
          <w:iCs/>
          <w:sz w:val="28"/>
          <w:szCs w:val="28"/>
          <w:lang w:val="uk-UA"/>
        </w:rPr>
      </w:pPr>
      <w:r w:rsidRPr="003D4FF7">
        <w:rPr>
          <w:b/>
          <w:iCs/>
          <w:sz w:val="28"/>
          <w:szCs w:val="28"/>
          <w:lang w:val="uk-UA"/>
        </w:rPr>
        <w:t>Пояснювальна</w:t>
      </w:r>
    </w:p>
    <w:p w:rsidR="00422C3B" w:rsidRPr="003D4FF7" w:rsidRDefault="00422C3B" w:rsidP="00CF0A52">
      <w:pPr>
        <w:jc w:val="center"/>
        <w:outlineLvl w:val="0"/>
        <w:rPr>
          <w:b/>
          <w:iCs/>
          <w:sz w:val="28"/>
          <w:szCs w:val="28"/>
          <w:lang w:val="uk-UA"/>
        </w:rPr>
      </w:pPr>
      <w:r w:rsidRPr="003D4FF7">
        <w:rPr>
          <w:b/>
          <w:iCs/>
          <w:sz w:val="28"/>
          <w:szCs w:val="28"/>
          <w:lang w:val="uk-UA"/>
        </w:rPr>
        <w:t xml:space="preserve">до звіту про виконання фінансового плану КП НМР «Благоустрій» </w:t>
      </w:r>
    </w:p>
    <w:p w:rsidR="00422C3B" w:rsidRPr="003D4FF7" w:rsidRDefault="00422C3B" w:rsidP="00CF0A52">
      <w:pPr>
        <w:jc w:val="center"/>
        <w:outlineLvl w:val="0"/>
        <w:rPr>
          <w:b/>
          <w:iCs/>
          <w:sz w:val="28"/>
          <w:szCs w:val="28"/>
          <w:lang w:val="uk-UA"/>
        </w:rPr>
      </w:pPr>
      <w:r w:rsidRPr="003D4FF7">
        <w:rPr>
          <w:b/>
          <w:iCs/>
          <w:sz w:val="28"/>
          <w:szCs w:val="28"/>
          <w:lang w:val="uk-UA"/>
        </w:rPr>
        <w:t>за 2019 рік</w:t>
      </w:r>
    </w:p>
    <w:p w:rsidR="00422C3B" w:rsidRPr="003D4FF7" w:rsidRDefault="00422C3B" w:rsidP="00CF0A52">
      <w:pPr>
        <w:jc w:val="center"/>
        <w:outlineLvl w:val="0"/>
        <w:rPr>
          <w:b/>
          <w:iCs/>
          <w:sz w:val="28"/>
          <w:szCs w:val="28"/>
          <w:lang w:val="uk-UA"/>
        </w:rPr>
      </w:pPr>
    </w:p>
    <w:p w:rsidR="00422C3B" w:rsidRPr="003D4FF7" w:rsidRDefault="00422C3B" w:rsidP="007E1A4D">
      <w:pPr>
        <w:pStyle w:val="Default"/>
        <w:ind w:firstLine="900"/>
        <w:jc w:val="both"/>
        <w:rPr>
          <w:sz w:val="28"/>
          <w:szCs w:val="28"/>
          <w:lang w:val="uk-UA"/>
        </w:rPr>
      </w:pPr>
      <w:r w:rsidRPr="003D4FF7">
        <w:rPr>
          <w:sz w:val="28"/>
          <w:szCs w:val="28"/>
          <w:lang w:val="uk-UA"/>
        </w:rPr>
        <w:t>Протягом 2019 року КП НМР «Благоустрій» здійснювало свою діяльність відповідно до Статуту, затвердженого рішенням тридцять четвертої сесії Нетішинської міської ради VII скликання від 27.10.2017 року №34/1852 «Про статут комунального підприємства Нетішинської міської ради «Благоустрій» та Статуту, затвердженого рішенням п’ятдесят восьмої сесії Нетішинської міської ради VII скликання від 26.06.2019 року №58/3919 «Про статут комунального підприємства Нетішинської міської ради «Благоустрій».</w:t>
      </w:r>
    </w:p>
    <w:p w:rsidR="00422C3B" w:rsidRPr="003D4FF7" w:rsidRDefault="00422C3B" w:rsidP="007E1A4D">
      <w:pPr>
        <w:ind w:firstLine="900"/>
        <w:jc w:val="both"/>
        <w:rPr>
          <w:sz w:val="28"/>
          <w:szCs w:val="28"/>
          <w:lang w:val="uk-UA"/>
        </w:rPr>
      </w:pPr>
      <w:r w:rsidRPr="003D4FF7">
        <w:rPr>
          <w:sz w:val="28"/>
          <w:szCs w:val="28"/>
          <w:lang w:val="uk-UA"/>
        </w:rPr>
        <w:t xml:space="preserve">Підприємство на протязі 2019 року фінансувалося з місцевого бюджету відповідно до переліку місцевих програм за рахунок отримання субсидій і трансфертних платежів за кодом бюджетної класифікації 2610 і 3210 та витрачало  їх відповідно до плану використання бюджетних коштів, про що в установленому порядку складало звітність. </w:t>
      </w:r>
    </w:p>
    <w:p w:rsidR="00422C3B" w:rsidRPr="003D4FF7" w:rsidRDefault="00422C3B" w:rsidP="007E1A4D">
      <w:pPr>
        <w:ind w:firstLine="900"/>
        <w:jc w:val="both"/>
        <w:rPr>
          <w:sz w:val="28"/>
          <w:szCs w:val="28"/>
          <w:lang w:val="uk-UA"/>
        </w:rPr>
      </w:pPr>
      <w:r w:rsidRPr="003D4FF7">
        <w:rPr>
          <w:sz w:val="28"/>
          <w:szCs w:val="28"/>
          <w:lang w:val="uk-UA"/>
        </w:rPr>
        <w:t>В загальному обсязі доходів питома вага цільового фінансування з місцевого бюджету складає 92%.</w:t>
      </w:r>
    </w:p>
    <w:p w:rsidR="00422C3B" w:rsidRPr="003D4FF7" w:rsidRDefault="00422C3B" w:rsidP="007E1A4D">
      <w:pPr>
        <w:pStyle w:val="NormalWeb"/>
        <w:spacing w:before="0" w:beforeAutospacing="0" w:after="0" w:afterAutospacing="0"/>
        <w:ind w:firstLine="900"/>
        <w:jc w:val="both"/>
        <w:rPr>
          <w:iCs/>
          <w:sz w:val="28"/>
          <w:szCs w:val="28"/>
        </w:rPr>
      </w:pPr>
      <w:r w:rsidRPr="003D4FF7">
        <w:rPr>
          <w:iCs/>
          <w:sz w:val="28"/>
          <w:szCs w:val="28"/>
        </w:rPr>
        <w:t xml:space="preserve">Окрім доходу від цільового фінансування, за результатами діяльності за 2019 ріку КП НМР «Благоустрій» отримало дохід від надання платних послуг – 337 тис грн., дохід від компенсації за пільговий проїзд - 242 тис.грн., дохід від продажу квитків – 238 тис. грн., дохід від сплати пайової участі в утриманні об’єкта благоустрою та від права на підвіску волоконно-оптичного кабелю на освітлювальних опорах мережі – 85 тис. грн. </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4,9% складають доходи, що дорівнюють сумі амортизації безоплатно одержаних активів  (1693 тис.грн.).</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Зменшення доходів від компенсації за пільговий проїзд на 78 тис.грн. (на 24%) та доходу від продажу квитків на 42 тис.грн (на 15%) пояснюється встановленням безкоштовного проїзду за маршрутом Нетішин-Солов'є та  зменшенням коефіцієнта (співвідношення) кількості пасажирів-пільговиків до кількості платних пасажирів.</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 xml:space="preserve">Збільшення доходу від сплати пайової участі в утриманні об’єкта благоустрою </w:t>
      </w:r>
      <w:r w:rsidRPr="003D4FF7">
        <w:rPr>
          <w:iCs/>
          <w:sz w:val="28"/>
          <w:szCs w:val="28"/>
        </w:rPr>
        <w:t>та від права на підвіску волоконно-оптичного кабелю на освітлювальних опорах мережі</w:t>
      </w:r>
      <w:r w:rsidRPr="003D4FF7">
        <w:rPr>
          <w:sz w:val="28"/>
          <w:szCs w:val="28"/>
        </w:rPr>
        <w:t xml:space="preserve"> на 60 тис.грн. пояснюється збільшенням укладених договорів та збільшенням вартості послуг.</w:t>
      </w:r>
    </w:p>
    <w:p w:rsidR="00422C3B" w:rsidRPr="003D4FF7" w:rsidRDefault="00422C3B" w:rsidP="007E1A4D">
      <w:pPr>
        <w:ind w:firstLine="900"/>
        <w:jc w:val="both"/>
        <w:rPr>
          <w:sz w:val="28"/>
          <w:szCs w:val="28"/>
          <w:lang w:val="uk-UA"/>
        </w:rPr>
      </w:pPr>
      <w:r w:rsidRPr="003D4FF7">
        <w:rPr>
          <w:sz w:val="28"/>
          <w:szCs w:val="28"/>
          <w:lang w:val="uk-UA"/>
        </w:rPr>
        <w:t>Протягом 2019 року підприємство виконувало комплекс робіт з відновлення покриття доріг міста, утримання в належному стані вулично-дорожної мережі міста, було виконано роботи щодо утримання, відновлення та видалення зелених насаджень, які знаходяться на обслуговувані підприємства, здійснювалися заходи щодо забезпечення належного санітарного стану території міста, проводились заходи щодо запобігання передчасного зносу об´єктів благоустрою, забезпечувалися умови функціонування та утримання їх у чистоті й належному стані, виконувалися роботи щодо забезпечення зовнішнього освітлення, утримання в належному стані та технічне обслуговування засобів та обладнання зовнішнього освітлення.</w:t>
      </w:r>
    </w:p>
    <w:p w:rsidR="00422C3B" w:rsidRPr="003D4FF7" w:rsidRDefault="00422C3B" w:rsidP="007E1A4D">
      <w:pPr>
        <w:ind w:firstLine="900"/>
        <w:jc w:val="both"/>
        <w:rPr>
          <w:sz w:val="28"/>
          <w:szCs w:val="28"/>
          <w:lang w:val="uk-UA"/>
        </w:rPr>
      </w:pPr>
      <w:r w:rsidRPr="003D4FF7">
        <w:rPr>
          <w:sz w:val="28"/>
          <w:szCs w:val="28"/>
          <w:lang w:val="uk-UA"/>
        </w:rPr>
        <w:t>На вище зазначені заходи були спрямовані кошти у сумі 34363 тис.грн.</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Основну частку загальних витрат складають витрати на за</w:t>
      </w:r>
      <w:r>
        <w:rPr>
          <w:sz w:val="28"/>
          <w:szCs w:val="28"/>
        </w:rPr>
        <w:t>робітну плату (44% - 15152 тис.</w:t>
      </w:r>
      <w:r w:rsidRPr="003D4FF7">
        <w:rPr>
          <w:sz w:val="28"/>
          <w:szCs w:val="28"/>
        </w:rPr>
        <w:t>грн) та відрахування</w:t>
      </w:r>
      <w:r>
        <w:rPr>
          <w:sz w:val="28"/>
          <w:szCs w:val="28"/>
        </w:rPr>
        <w:t xml:space="preserve"> на соціальні заходи (9,6% - </w:t>
      </w:r>
      <w:r w:rsidRPr="003D4FF7">
        <w:rPr>
          <w:sz w:val="28"/>
          <w:szCs w:val="28"/>
        </w:rPr>
        <w:t>3321 тис.грн.), на паливо (4,8% - 1661 тис.грн.) та електроенергію (6,9 % - 2382 тис.грн.).</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 xml:space="preserve">Зменшення витрат на паливо та електроенергію на 1415 тис.грн. (26%)  пояснюється зменшенням витрат пального у зв’язку з зменшенням витрат на посипання та чистку доріг у зимовий період та економією при закупівлі пального. Також зменшення витрат на електроенергію пояснюється зменшенням використаних квт*год у 2019 році, у зв’язку заміною ламп при реконструкції вуличного освітлення. </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 xml:space="preserve">Збільшення матеріальних витрат на 52% (2702 тис грн.) від планового показника пояснюється збільшенням виконання робіт по поточних ремонтах на об’єктах благоустрою та збільшенням виконання робіт власними силами у  2019 році. </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 xml:space="preserve">Збільшення капітальних інвестицій пояснюється виділенням додаткових коштів на придбання основних засобів  (фреза дорожня, вольєр, дитяче ігрове обладнання, розкидача дорожніх сумішей, причепа одновісного) та на придбання матеріалів для реконструкції електромереж Технічної бази ПНР. </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За результатами діяльності 2019</w:t>
      </w:r>
      <w:r>
        <w:rPr>
          <w:sz w:val="28"/>
          <w:szCs w:val="28"/>
        </w:rPr>
        <w:t xml:space="preserve"> року було отримано 115 тис.грн</w:t>
      </w:r>
      <w:r w:rsidRPr="003D4FF7">
        <w:rPr>
          <w:sz w:val="28"/>
          <w:szCs w:val="28"/>
        </w:rPr>
        <w:t xml:space="preserve"> чистого прибутку.</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До місцевого б</w:t>
      </w:r>
      <w:r>
        <w:rPr>
          <w:sz w:val="28"/>
          <w:szCs w:val="28"/>
        </w:rPr>
        <w:t>юджету було сплачено 33 тис.грн</w:t>
      </w:r>
      <w:r w:rsidRPr="003D4FF7">
        <w:rPr>
          <w:sz w:val="28"/>
          <w:szCs w:val="28"/>
        </w:rPr>
        <w:t xml:space="preserve"> податку на прибуток</w:t>
      </w:r>
    </w:p>
    <w:p w:rsidR="00422C3B" w:rsidRPr="003D4FF7" w:rsidRDefault="00422C3B" w:rsidP="007E1A4D">
      <w:pPr>
        <w:pStyle w:val="NormalWeb"/>
        <w:spacing w:before="0" w:beforeAutospacing="0" w:after="0" w:afterAutospacing="0"/>
        <w:ind w:firstLine="900"/>
        <w:jc w:val="both"/>
        <w:rPr>
          <w:sz w:val="28"/>
          <w:szCs w:val="28"/>
        </w:rPr>
      </w:pPr>
      <w:r w:rsidRPr="003D4FF7">
        <w:rPr>
          <w:sz w:val="28"/>
          <w:szCs w:val="28"/>
        </w:rPr>
        <w:t>Збільшення даних показників пояснюється збільшенням платних послуг, які надавало підприємство.</w:t>
      </w:r>
    </w:p>
    <w:p w:rsidR="00422C3B" w:rsidRPr="003D4FF7" w:rsidRDefault="00422C3B" w:rsidP="004036EF">
      <w:pPr>
        <w:autoSpaceDE w:val="0"/>
        <w:autoSpaceDN w:val="0"/>
        <w:adjustRightInd w:val="0"/>
        <w:jc w:val="both"/>
        <w:rPr>
          <w:sz w:val="28"/>
          <w:szCs w:val="28"/>
          <w:lang w:val="uk-UA"/>
        </w:rPr>
      </w:pPr>
    </w:p>
    <w:p w:rsidR="00422C3B" w:rsidRPr="003D4FF7" w:rsidRDefault="00422C3B" w:rsidP="004036EF">
      <w:pPr>
        <w:autoSpaceDE w:val="0"/>
        <w:autoSpaceDN w:val="0"/>
        <w:adjustRightInd w:val="0"/>
        <w:jc w:val="both"/>
        <w:rPr>
          <w:sz w:val="28"/>
          <w:szCs w:val="28"/>
          <w:lang w:val="uk-UA"/>
        </w:rPr>
      </w:pPr>
    </w:p>
    <w:p w:rsidR="00422C3B" w:rsidRPr="003D4FF7" w:rsidRDefault="00422C3B" w:rsidP="004036EF">
      <w:pPr>
        <w:autoSpaceDE w:val="0"/>
        <w:autoSpaceDN w:val="0"/>
        <w:adjustRightInd w:val="0"/>
        <w:jc w:val="both"/>
        <w:rPr>
          <w:sz w:val="28"/>
          <w:szCs w:val="28"/>
          <w:lang w:val="uk-UA"/>
        </w:rPr>
      </w:pPr>
    </w:p>
    <w:p w:rsidR="00422C3B" w:rsidRPr="003D4FF7" w:rsidRDefault="00422C3B" w:rsidP="004036EF">
      <w:pPr>
        <w:autoSpaceDE w:val="0"/>
        <w:autoSpaceDN w:val="0"/>
        <w:adjustRightInd w:val="0"/>
        <w:jc w:val="both"/>
        <w:rPr>
          <w:sz w:val="28"/>
          <w:szCs w:val="28"/>
          <w:lang w:val="uk-UA"/>
        </w:rPr>
      </w:pPr>
    </w:p>
    <w:p w:rsidR="00422C3B" w:rsidRPr="003D4FF7" w:rsidRDefault="00422C3B" w:rsidP="004036EF">
      <w:pPr>
        <w:autoSpaceDE w:val="0"/>
        <w:autoSpaceDN w:val="0"/>
        <w:adjustRightInd w:val="0"/>
        <w:jc w:val="both"/>
        <w:rPr>
          <w:sz w:val="28"/>
          <w:szCs w:val="28"/>
          <w:lang w:val="uk-UA"/>
        </w:rPr>
      </w:pPr>
    </w:p>
    <w:p w:rsidR="00422C3B" w:rsidRPr="003D4FF7" w:rsidRDefault="00422C3B" w:rsidP="00CF0A52">
      <w:pPr>
        <w:autoSpaceDE w:val="0"/>
        <w:autoSpaceDN w:val="0"/>
        <w:adjustRightInd w:val="0"/>
        <w:jc w:val="both"/>
        <w:rPr>
          <w:sz w:val="28"/>
          <w:szCs w:val="28"/>
          <w:lang w:val="uk-UA"/>
        </w:rPr>
      </w:pPr>
      <w:r w:rsidRPr="003D4FF7">
        <w:rPr>
          <w:sz w:val="28"/>
          <w:szCs w:val="28"/>
          <w:lang w:val="uk-UA"/>
        </w:rPr>
        <w:t>Директор КП НМР «Благоустрій»                                         Віктор Кондрацький</w:t>
      </w:r>
    </w:p>
    <w:p w:rsidR="00422C3B" w:rsidRPr="003D4FF7" w:rsidRDefault="00422C3B" w:rsidP="00CF0A52">
      <w:pPr>
        <w:autoSpaceDE w:val="0"/>
        <w:autoSpaceDN w:val="0"/>
        <w:adjustRightInd w:val="0"/>
        <w:jc w:val="both"/>
        <w:rPr>
          <w:sz w:val="28"/>
          <w:szCs w:val="28"/>
          <w:lang w:val="uk-UA"/>
        </w:rPr>
      </w:pPr>
    </w:p>
    <w:p w:rsidR="00422C3B" w:rsidRDefault="00422C3B" w:rsidP="00CF0A52">
      <w:pPr>
        <w:autoSpaceDE w:val="0"/>
        <w:autoSpaceDN w:val="0"/>
        <w:adjustRightInd w:val="0"/>
        <w:jc w:val="both"/>
        <w:rPr>
          <w:sz w:val="28"/>
          <w:szCs w:val="28"/>
          <w:lang w:val="uk-UA"/>
        </w:rPr>
      </w:pPr>
    </w:p>
    <w:p w:rsidR="00422C3B" w:rsidRPr="003D4FF7" w:rsidRDefault="00422C3B" w:rsidP="00CF0A52">
      <w:pPr>
        <w:autoSpaceDE w:val="0"/>
        <w:autoSpaceDN w:val="0"/>
        <w:adjustRightInd w:val="0"/>
        <w:jc w:val="both"/>
        <w:rPr>
          <w:sz w:val="28"/>
          <w:szCs w:val="28"/>
          <w:lang w:val="uk-UA"/>
        </w:rPr>
      </w:pPr>
    </w:p>
    <w:p w:rsidR="00422C3B" w:rsidRPr="003D4FF7" w:rsidRDefault="00422C3B" w:rsidP="00CF0A52">
      <w:pPr>
        <w:autoSpaceDE w:val="0"/>
        <w:autoSpaceDN w:val="0"/>
        <w:adjustRightInd w:val="0"/>
        <w:jc w:val="both"/>
        <w:rPr>
          <w:bCs/>
          <w:sz w:val="28"/>
          <w:szCs w:val="28"/>
          <w:lang w:val="uk-UA"/>
        </w:rPr>
      </w:pPr>
      <w:r w:rsidRPr="003D4FF7">
        <w:rPr>
          <w:sz w:val="28"/>
          <w:szCs w:val="28"/>
          <w:lang w:val="uk-UA"/>
        </w:rPr>
        <w:t>Головний бухгалтер                                                                  Людмила Мирончук</w:t>
      </w:r>
    </w:p>
    <w:p w:rsidR="00422C3B" w:rsidRPr="003D4FF7" w:rsidRDefault="00422C3B" w:rsidP="00655694">
      <w:pPr>
        <w:rPr>
          <w:sz w:val="28"/>
          <w:szCs w:val="28"/>
          <w:lang w:val="uk-UA"/>
        </w:rPr>
      </w:pPr>
    </w:p>
    <w:sectPr w:rsidR="00422C3B" w:rsidRPr="003D4FF7" w:rsidSect="007E1A4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0230"/>
    <w:multiLevelType w:val="hybridMultilevel"/>
    <w:tmpl w:val="E984EF3C"/>
    <w:lvl w:ilvl="0" w:tplc="522841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B1221F"/>
    <w:multiLevelType w:val="hybridMultilevel"/>
    <w:tmpl w:val="D44C0FD8"/>
    <w:lvl w:ilvl="0" w:tplc="36E8EB26">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F7E"/>
    <w:rsid w:val="00002877"/>
    <w:rsid w:val="00003E91"/>
    <w:rsid w:val="00004539"/>
    <w:rsid w:val="00006570"/>
    <w:rsid w:val="00022591"/>
    <w:rsid w:val="00024AD0"/>
    <w:rsid w:val="00034B13"/>
    <w:rsid w:val="00034C30"/>
    <w:rsid w:val="00037CA1"/>
    <w:rsid w:val="00042A11"/>
    <w:rsid w:val="00055534"/>
    <w:rsid w:val="00067E4E"/>
    <w:rsid w:val="00076411"/>
    <w:rsid w:val="0007798F"/>
    <w:rsid w:val="00077EF5"/>
    <w:rsid w:val="0008019E"/>
    <w:rsid w:val="000A7DBF"/>
    <w:rsid w:val="000B21C2"/>
    <w:rsid w:val="000D0541"/>
    <w:rsid w:val="000D260B"/>
    <w:rsid w:val="000E4478"/>
    <w:rsid w:val="000E5513"/>
    <w:rsid w:val="00104A43"/>
    <w:rsid w:val="00116007"/>
    <w:rsid w:val="00124E85"/>
    <w:rsid w:val="00132A4B"/>
    <w:rsid w:val="001338E7"/>
    <w:rsid w:val="00146469"/>
    <w:rsid w:val="001525A3"/>
    <w:rsid w:val="00162182"/>
    <w:rsid w:val="001754AC"/>
    <w:rsid w:val="00197B0E"/>
    <w:rsid w:val="001A0D11"/>
    <w:rsid w:val="001C4D00"/>
    <w:rsid w:val="001C5B5A"/>
    <w:rsid w:val="001D0DAE"/>
    <w:rsid w:val="001F325B"/>
    <w:rsid w:val="0021545B"/>
    <w:rsid w:val="00231191"/>
    <w:rsid w:val="0023166B"/>
    <w:rsid w:val="002346F3"/>
    <w:rsid w:val="0023764F"/>
    <w:rsid w:val="00240CA2"/>
    <w:rsid w:val="00247724"/>
    <w:rsid w:val="00265AC7"/>
    <w:rsid w:val="00271B93"/>
    <w:rsid w:val="002738F0"/>
    <w:rsid w:val="00290C1C"/>
    <w:rsid w:val="00291F98"/>
    <w:rsid w:val="002A3A14"/>
    <w:rsid w:val="002A3D44"/>
    <w:rsid w:val="002A798C"/>
    <w:rsid w:val="002B763D"/>
    <w:rsid w:val="002C4FFA"/>
    <w:rsid w:val="002D0CB4"/>
    <w:rsid w:val="002D210B"/>
    <w:rsid w:val="002E0AFB"/>
    <w:rsid w:val="00304D21"/>
    <w:rsid w:val="00305911"/>
    <w:rsid w:val="003144B6"/>
    <w:rsid w:val="003207B2"/>
    <w:rsid w:val="00324874"/>
    <w:rsid w:val="0033719A"/>
    <w:rsid w:val="003551E7"/>
    <w:rsid w:val="00364E91"/>
    <w:rsid w:val="00365990"/>
    <w:rsid w:val="003669B1"/>
    <w:rsid w:val="0037153B"/>
    <w:rsid w:val="00372A37"/>
    <w:rsid w:val="00373FCD"/>
    <w:rsid w:val="00385B12"/>
    <w:rsid w:val="003915AB"/>
    <w:rsid w:val="00394C7C"/>
    <w:rsid w:val="003956CC"/>
    <w:rsid w:val="003A364C"/>
    <w:rsid w:val="003A5CBC"/>
    <w:rsid w:val="003B4CB1"/>
    <w:rsid w:val="003C3F3E"/>
    <w:rsid w:val="003C4381"/>
    <w:rsid w:val="003D4F9A"/>
    <w:rsid w:val="003D4FF7"/>
    <w:rsid w:val="003F3052"/>
    <w:rsid w:val="003F65E2"/>
    <w:rsid w:val="003F7BFC"/>
    <w:rsid w:val="0040050C"/>
    <w:rsid w:val="00402E0E"/>
    <w:rsid w:val="004036EF"/>
    <w:rsid w:val="00404428"/>
    <w:rsid w:val="00405FF9"/>
    <w:rsid w:val="00422C3B"/>
    <w:rsid w:val="004343DC"/>
    <w:rsid w:val="0043487C"/>
    <w:rsid w:val="004430DF"/>
    <w:rsid w:val="00444723"/>
    <w:rsid w:val="004754C7"/>
    <w:rsid w:val="00491B0E"/>
    <w:rsid w:val="004B5257"/>
    <w:rsid w:val="004D6DD8"/>
    <w:rsid w:val="004F3788"/>
    <w:rsid w:val="004F6434"/>
    <w:rsid w:val="005034CB"/>
    <w:rsid w:val="0051367B"/>
    <w:rsid w:val="00515438"/>
    <w:rsid w:val="00563333"/>
    <w:rsid w:val="005A50BF"/>
    <w:rsid w:val="005C1590"/>
    <w:rsid w:val="005C4138"/>
    <w:rsid w:val="005D6349"/>
    <w:rsid w:val="005F5277"/>
    <w:rsid w:val="006154B2"/>
    <w:rsid w:val="0062017F"/>
    <w:rsid w:val="00625F49"/>
    <w:rsid w:val="0063556C"/>
    <w:rsid w:val="006358BE"/>
    <w:rsid w:val="00650D1C"/>
    <w:rsid w:val="00655694"/>
    <w:rsid w:val="0067181B"/>
    <w:rsid w:val="006855BF"/>
    <w:rsid w:val="00687540"/>
    <w:rsid w:val="0069121C"/>
    <w:rsid w:val="00691389"/>
    <w:rsid w:val="006A4BA4"/>
    <w:rsid w:val="006A7769"/>
    <w:rsid w:val="006B3C82"/>
    <w:rsid w:val="006B69DD"/>
    <w:rsid w:val="006C0EA1"/>
    <w:rsid w:val="006C4532"/>
    <w:rsid w:val="006D488F"/>
    <w:rsid w:val="006F5BF4"/>
    <w:rsid w:val="00701387"/>
    <w:rsid w:val="007143F1"/>
    <w:rsid w:val="0072328E"/>
    <w:rsid w:val="00725619"/>
    <w:rsid w:val="00731AFE"/>
    <w:rsid w:val="00731F8D"/>
    <w:rsid w:val="007323CA"/>
    <w:rsid w:val="00740E73"/>
    <w:rsid w:val="00750682"/>
    <w:rsid w:val="00750769"/>
    <w:rsid w:val="00762088"/>
    <w:rsid w:val="0076326F"/>
    <w:rsid w:val="0076779F"/>
    <w:rsid w:val="007B0655"/>
    <w:rsid w:val="007B2B92"/>
    <w:rsid w:val="007B4DD6"/>
    <w:rsid w:val="007C17C7"/>
    <w:rsid w:val="007C36CB"/>
    <w:rsid w:val="007C486D"/>
    <w:rsid w:val="007E1A4D"/>
    <w:rsid w:val="007E68F4"/>
    <w:rsid w:val="007F576E"/>
    <w:rsid w:val="0081090A"/>
    <w:rsid w:val="00814662"/>
    <w:rsid w:val="008147E4"/>
    <w:rsid w:val="00825A1A"/>
    <w:rsid w:val="00833522"/>
    <w:rsid w:val="008347FD"/>
    <w:rsid w:val="00834FB9"/>
    <w:rsid w:val="00865677"/>
    <w:rsid w:val="00887E63"/>
    <w:rsid w:val="00894DDD"/>
    <w:rsid w:val="008A2D56"/>
    <w:rsid w:val="008C4319"/>
    <w:rsid w:val="008C4398"/>
    <w:rsid w:val="008D5A4E"/>
    <w:rsid w:val="008E7F28"/>
    <w:rsid w:val="008F2DCE"/>
    <w:rsid w:val="008F5460"/>
    <w:rsid w:val="0090170A"/>
    <w:rsid w:val="00907A3D"/>
    <w:rsid w:val="00910CDF"/>
    <w:rsid w:val="00924915"/>
    <w:rsid w:val="009259A9"/>
    <w:rsid w:val="00932AE3"/>
    <w:rsid w:val="009432AC"/>
    <w:rsid w:val="009633FA"/>
    <w:rsid w:val="0097103E"/>
    <w:rsid w:val="00973750"/>
    <w:rsid w:val="00985DB8"/>
    <w:rsid w:val="009B02B4"/>
    <w:rsid w:val="009B3FC3"/>
    <w:rsid w:val="009B4865"/>
    <w:rsid w:val="009C69E0"/>
    <w:rsid w:val="009E6006"/>
    <w:rsid w:val="00A00B4E"/>
    <w:rsid w:val="00A00F1B"/>
    <w:rsid w:val="00A33C05"/>
    <w:rsid w:val="00A468EE"/>
    <w:rsid w:val="00A64814"/>
    <w:rsid w:val="00A7552C"/>
    <w:rsid w:val="00A8273D"/>
    <w:rsid w:val="00AA695A"/>
    <w:rsid w:val="00AB3E4C"/>
    <w:rsid w:val="00AC3029"/>
    <w:rsid w:val="00AD7A0B"/>
    <w:rsid w:val="00AE2F7E"/>
    <w:rsid w:val="00AF1757"/>
    <w:rsid w:val="00B015B5"/>
    <w:rsid w:val="00B06202"/>
    <w:rsid w:val="00B25AA0"/>
    <w:rsid w:val="00B314DC"/>
    <w:rsid w:val="00B33AA9"/>
    <w:rsid w:val="00B344D0"/>
    <w:rsid w:val="00B419F0"/>
    <w:rsid w:val="00B52D95"/>
    <w:rsid w:val="00B71BA7"/>
    <w:rsid w:val="00B82074"/>
    <w:rsid w:val="00BA5843"/>
    <w:rsid w:val="00BB4B73"/>
    <w:rsid w:val="00BC1256"/>
    <w:rsid w:val="00BC3A2C"/>
    <w:rsid w:val="00BC57E2"/>
    <w:rsid w:val="00BD6357"/>
    <w:rsid w:val="00BF3D30"/>
    <w:rsid w:val="00C01902"/>
    <w:rsid w:val="00C0537A"/>
    <w:rsid w:val="00C12B9E"/>
    <w:rsid w:val="00C205C3"/>
    <w:rsid w:val="00C23F6B"/>
    <w:rsid w:val="00C27E90"/>
    <w:rsid w:val="00C544ED"/>
    <w:rsid w:val="00C71DF5"/>
    <w:rsid w:val="00C8385E"/>
    <w:rsid w:val="00C84DE9"/>
    <w:rsid w:val="00CD01A1"/>
    <w:rsid w:val="00CE5D0B"/>
    <w:rsid w:val="00CE67A9"/>
    <w:rsid w:val="00CF0A52"/>
    <w:rsid w:val="00CF3DFE"/>
    <w:rsid w:val="00D06D7C"/>
    <w:rsid w:val="00D16E0C"/>
    <w:rsid w:val="00D34AE7"/>
    <w:rsid w:val="00D51683"/>
    <w:rsid w:val="00D61AA3"/>
    <w:rsid w:val="00D7014C"/>
    <w:rsid w:val="00D7310D"/>
    <w:rsid w:val="00D8676A"/>
    <w:rsid w:val="00D86FFA"/>
    <w:rsid w:val="00D963EA"/>
    <w:rsid w:val="00DA390C"/>
    <w:rsid w:val="00DC5015"/>
    <w:rsid w:val="00DD34D6"/>
    <w:rsid w:val="00DD7333"/>
    <w:rsid w:val="00DE2350"/>
    <w:rsid w:val="00DF5A19"/>
    <w:rsid w:val="00E01675"/>
    <w:rsid w:val="00E0541D"/>
    <w:rsid w:val="00E05AD8"/>
    <w:rsid w:val="00E10533"/>
    <w:rsid w:val="00E22D73"/>
    <w:rsid w:val="00E239A2"/>
    <w:rsid w:val="00E23B5D"/>
    <w:rsid w:val="00E42574"/>
    <w:rsid w:val="00E529F9"/>
    <w:rsid w:val="00E847F3"/>
    <w:rsid w:val="00E91FAF"/>
    <w:rsid w:val="00E94A66"/>
    <w:rsid w:val="00EA7785"/>
    <w:rsid w:val="00EB2738"/>
    <w:rsid w:val="00EB3610"/>
    <w:rsid w:val="00EC345D"/>
    <w:rsid w:val="00EC4BA2"/>
    <w:rsid w:val="00EC509C"/>
    <w:rsid w:val="00EE04C3"/>
    <w:rsid w:val="00EE1D2A"/>
    <w:rsid w:val="00EE7279"/>
    <w:rsid w:val="00EF5C06"/>
    <w:rsid w:val="00F03CD1"/>
    <w:rsid w:val="00F040BB"/>
    <w:rsid w:val="00F06FE6"/>
    <w:rsid w:val="00F10DFE"/>
    <w:rsid w:val="00F3165D"/>
    <w:rsid w:val="00F52362"/>
    <w:rsid w:val="00F66C82"/>
    <w:rsid w:val="00F67AFE"/>
    <w:rsid w:val="00F71483"/>
    <w:rsid w:val="00F82542"/>
    <w:rsid w:val="00F90BD1"/>
    <w:rsid w:val="00F93832"/>
    <w:rsid w:val="00F9528F"/>
    <w:rsid w:val="00FA547D"/>
    <w:rsid w:val="00FB0BD0"/>
    <w:rsid w:val="00FB2EEF"/>
    <w:rsid w:val="00FC1DF2"/>
    <w:rsid w:val="00FC7ED1"/>
    <w:rsid w:val="00FF2B77"/>
    <w:rsid w:val="00FF6D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7E"/>
    <w:rPr>
      <w:rFonts w:ascii="Times New Roman" w:eastAsia="Times New Roman" w:hAnsi="Times New Roman"/>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2F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E2F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E2F7E"/>
    <w:rPr>
      <w:rFonts w:ascii="Tahoma" w:hAnsi="Tahoma" w:cs="Tahoma"/>
      <w:sz w:val="20"/>
      <w:szCs w:val="20"/>
      <w:shd w:val="clear" w:color="auto" w:fill="000080"/>
      <w:lang w:eastAsia="ru-RU"/>
    </w:rPr>
  </w:style>
  <w:style w:type="paragraph" w:styleId="BalloonText">
    <w:name w:val="Balloon Text"/>
    <w:basedOn w:val="Normal"/>
    <w:link w:val="BalloonTextChar"/>
    <w:uiPriority w:val="99"/>
    <w:rsid w:val="00AE2F7E"/>
    <w:rPr>
      <w:rFonts w:ascii="Segoe UI" w:hAnsi="Segoe UI" w:cs="Segoe UI"/>
      <w:sz w:val="18"/>
      <w:szCs w:val="18"/>
    </w:rPr>
  </w:style>
  <w:style w:type="character" w:customStyle="1" w:styleId="BalloonTextChar">
    <w:name w:val="Balloon Text Char"/>
    <w:basedOn w:val="DefaultParagraphFont"/>
    <w:link w:val="BalloonText"/>
    <w:uiPriority w:val="99"/>
    <w:locked/>
    <w:rsid w:val="00AE2F7E"/>
    <w:rPr>
      <w:rFonts w:ascii="Segoe UI" w:hAnsi="Segoe UI" w:cs="Segoe UI"/>
      <w:sz w:val="18"/>
      <w:szCs w:val="18"/>
      <w:lang w:eastAsia="ru-RU"/>
    </w:rPr>
  </w:style>
  <w:style w:type="paragraph" w:styleId="Caption">
    <w:name w:val="caption"/>
    <w:basedOn w:val="Normal"/>
    <w:uiPriority w:val="99"/>
    <w:qFormat/>
    <w:rsid w:val="00AE2F7E"/>
    <w:pPr>
      <w:ind w:firstLine="720"/>
      <w:jc w:val="center"/>
    </w:pPr>
    <w:rPr>
      <w:szCs w:val="20"/>
      <w:lang w:val="uk-UA"/>
    </w:rPr>
  </w:style>
  <w:style w:type="paragraph" w:styleId="Title">
    <w:name w:val="Title"/>
    <w:basedOn w:val="Normal"/>
    <w:link w:val="TitleChar"/>
    <w:uiPriority w:val="99"/>
    <w:qFormat/>
    <w:rsid w:val="00AE2F7E"/>
    <w:pPr>
      <w:jc w:val="center"/>
    </w:pPr>
    <w:rPr>
      <w:sz w:val="28"/>
      <w:szCs w:val="20"/>
      <w:lang w:val="uk-UA"/>
    </w:rPr>
  </w:style>
  <w:style w:type="character" w:customStyle="1" w:styleId="TitleChar">
    <w:name w:val="Title Char"/>
    <w:basedOn w:val="DefaultParagraphFont"/>
    <w:link w:val="Title"/>
    <w:uiPriority w:val="99"/>
    <w:locked/>
    <w:rsid w:val="00AE2F7E"/>
    <w:rPr>
      <w:rFonts w:ascii="Times New Roman" w:hAnsi="Times New Roman" w:cs="Times New Roman"/>
      <w:sz w:val="20"/>
      <w:szCs w:val="20"/>
      <w:lang w:val="uk-UA" w:eastAsia="ru-RU"/>
    </w:rPr>
  </w:style>
  <w:style w:type="paragraph" w:styleId="ListParagraph">
    <w:name w:val="List Paragraph"/>
    <w:basedOn w:val="Normal"/>
    <w:uiPriority w:val="99"/>
    <w:qFormat/>
    <w:rsid w:val="004430DF"/>
    <w:pPr>
      <w:ind w:left="720"/>
      <w:contextualSpacing/>
    </w:pPr>
  </w:style>
  <w:style w:type="paragraph" w:styleId="NormalWeb">
    <w:name w:val="Normal (Web)"/>
    <w:basedOn w:val="Normal"/>
    <w:uiPriority w:val="99"/>
    <w:rsid w:val="0040050C"/>
    <w:pPr>
      <w:spacing w:before="100" w:beforeAutospacing="1" w:after="100" w:afterAutospacing="1"/>
    </w:pPr>
    <w:rPr>
      <w:sz w:val="24"/>
      <w:szCs w:val="24"/>
      <w:lang w:val="uk-UA"/>
    </w:rPr>
  </w:style>
  <w:style w:type="character" w:styleId="Hyperlink">
    <w:name w:val="Hyperlink"/>
    <w:basedOn w:val="DefaultParagraphFont"/>
    <w:uiPriority w:val="99"/>
    <w:rsid w:val="0040050C"/>
    <w:rPr>
      <w:rFonts w:cs="Times New Roman"/>
      <w:color w:val="0000FF"/>
      <w:u w:val="single"/>
    </w:rPr>
  </w:style>
  <w:style w:type="character" w:customStyle="1" w:styleId="apple-converted-space">
    <w:name w:val="apple-converted-space"/>
    <w:basedOn w:val="DefaultParagraphFont"/>
    <w:uiPriority w:val="99"/>
    <w:rsid w:val="0040050C"/>
    <w:rPr>
      <w:rFonts w:cs="Times New Roman"/>
    </w:rPr>
  </w:style>
  <w:style w:type="character" w:styleId="Strong">
    <w:name w:val="Strong"/>
    <w:basedOn w:val="DefaultParagraphFont"/>
    <w:uiPriority w:val="99"/>
    <w:qFormat/>
    <w:rsid w:val="0040050C"/>
    <w:rPr>
      <w:rFonts w:cs="Times New Roman"/>
      <w:b/>
      <w:bCs/>
    </w:rPr>
  </w:style>
  <w:style w:type="paragraph" w:customStyle="1" w:styleId="Default">
    <w:name w:val="Default"/>
    <w:uiPriority w:val="99"/>
    <w:rsid w:val="00910CDF"/>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Normal"/>
    <w:uiPriority w:val="99"/>
    <w:rsid w:val="0005553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968486">
      <w:marLeft w:val="0"/>
      <w:marRight w:val="0"/>
      <w:marTop w:val="0"/>
      <w:marBottom w:val="0"/>
      <w:divBdr>
        <w:top w:val="none" w:sz="0" w:space="0" w:color="auto"/>
        <w:left w:val="none" w:sz="0" w:space="0" w:color="auto"/>
        <w:bottom w:val="none" w:sz="0" w:space="0" w:color="auto"/>
        <w:right w:val="none" w:sz="0" w:space="0" w:color="auto"/>
      </w:divBdr>
    </w:div>
    <w:div w:id="17968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1800</TotalTime>
  <Pages>2</Pages>
  <Words>658</Words>
  <Characters>3755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269</cp:revision>
  <cp:lastPrinted>2020-02-26T06:35:00Z</cp:lastPrinted>
  <dcterms:created xsi:type="dcterms:W3CDTF">2018-08-13T13:54:00Z</dcterms:created>
  <dcterms:modified xsi:type="dcterms:W3CDTF">2020-02-26T06:35:00Z</dcterms:modified>
</cp:coreProperties>
</file>